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center"/>
        <w:outlineLvl w:val="2"/>
        <w:rPr>
          <w:rFonts w:ascii="黑体" w:hAnsi="黑体" w:eastAsia="黑体" w:cs="Arial"/>
          <w:b/>
          <w:color w:val="333333"/>
          <w:kern w:val="0"/>
          <w:sz w:val="36"/>
          <w:szCs w:val="54"/>
        </w:rPr>
      </w:pPr>
      <w:bookmarkStart w:id="0" w:name="_GoBack"/>
      <w:bookmarkEnd w:id="0"/>
      <w:r>
        <w:rPr>
          <w:rFonts w:hint="eastAsia" w:ascii="黑体" w:hAnsi="黑体" w:eastAsia="黑体" w:cs="Arial"/>
          <w:b/>
          <w:color w:val="333333"/>
          <w:kern w:val="0"/>
          <w:sz w:val="36"/>
          <w:szCs w:val="54"/>
        </w:rPr>
        <w:t>安集微电子科技（上海）</w:t>
      </w:r>
      <w:r>
        <w:rPr>
          <w:rFonts w:ascii="黑体" w:hAnsi="黑体" w:eastAsia="黑体" w:cs="Arial"/>
          <w:b/>
          <w:color w:val="333333"/>
          <w:kern w:val="0"/>
          <w:sz w:val="36"/>
          <w:szCs w:val="54"/>
        </w:rPr>
        <w:t>股份有限公司</w:t>
      </w:r>
    </w:p>
    <w:p>
      <w:pPr>
        <w:widowControl/>
        <w:shd w:val="clear" w:color="auto" w:fill="FFFFFF"/>
        <w:spacing w:line="600" w:lineRule="atLeast"/>
        <w:jc w:val="center"/>
        <w:outlineLvl w:val="2"/>
        <w:rPr>
          <w:rFonts w:ascii="Arial" w:hAnsi="Arial" w:eastAsia="宋体" w:cs="Arial"/>
          <w:b/>
          <w:color w:val="333333"/>
          <w:kern w:val="0"/>
          <w:sz w:val="44"/>
          <w:szCs w:val="54"/>
        </w:rPr>
      </w:pPr>
      <w:r>
        <w:rPr>
          <w:rFonts w:ascii="黑体" w:hAnsi="黑体" w:eastAsia="黑体" w:cs="Arial"/>
          <w:b/>
          <w:color w:val="333333"/>
          <w:kern w:val="0"/>
          <w:sz w:val="36"/>
          <w:szCs w:val="54"/>
        </w:rPr>
        <w:t>会计师事务所公开选聘公告</w:t>
      </w:r>
    </w:p>
    <w:p>
      <w:pPr>
        <w:spacing w:before="156" w:beforeLines="50" w:line="360" w:lineRule="auto"/>
        <w:ind w:firstLine="480" w:firstLineChars="200"/>
        <w:rPr>
          <w:rFonts w:ascii="宋体" w:hAnsi="宋体" w:eastAsia="宋体"/>
          <w:sz w:val="24"/>
        </w:rPr>
      </w:pPr>
      <w:r>
        <w:rPr>
          <w:rFonts w:hint="eastAsia" w:ascii="宋体" w:hAnsi="宋体" w:eastAsia="宋体"/>
          <w:sz w:val="24"/>
        </w:rPr>
        <w:t>根据《国有企业、上市公司选聘会计师事务所管理办法》（财会〔</w:t>
      </w:r>
      <w:r>
        <w:rPr>
          <w:rFonts w:ascii="宋体" w:hAnsi="宋体" w:eastAsia="宋体"/>
          <w:sz w:val="24"/>
        </w:rPr>
        <w:t>2023〕4号）有关要求，为进一步加强</w:t>
      </w:r>
      <w:r>
        <w:rPr>
          <w:rFonts w:hint="eastAsia" w:ascii="宋体" w:hAnsi="宋体" w:eastAsia="宋体"/>
          <w:sz w:val="24"/>
        </w:rPr>
        <w:t>安集微电子科技（上海）股份有限公司</w:t>
      </w:r>
      <w:r>
        <w:rPr>
          <w:rFonts w:ascii="宋体" w:hAnsi="宋体" w:eastAsia="宋体"/>
          <w:sz w:val="24"/>
        </w:rPr>
        <w:t>（</w:t>
      </w:r>
      <w:r>
        <w:rPr>
          <w:rFonts w:hint="eastAsia" w:ascii="宋体" w:hAnsi="宋体" w:eastAsia="宋体"/>
          <w:sz w:val="24"/>
        </w:rPr>
        <w:t>以下</w:t>
      </w:r>
      <w:r>
        <w:rPr>
          <w:rFonts w:ascii="宋体" w:hAnsi="宋体" w:eastAsia="宋体"/>
          <w:sz w:val="24"/>
        </w:rPr>
        <w:t>简称</w:t>
      </w:r>
      <w:r>
        <w:rPr>
          <w:rFonts w:hint="eastAsia" w:ascii="宋体" w:hAnsi="宋体" w:eastAsia="宋体"/>
          <w:sz w:val="24"/>
        </w:rPr>
        <w:t>“安集科技”</w:t>
      </w:r>
      <w:r>
        <w:rPr>
          <w:rFonts w:ascii="宋体" w:hAnsi="宋体" w:eastAsia="宋体"/>
          <w:sz w:val="24"/>
        </w:rPr>
        <w:t>）财务审计工作管理，现诚邀符合条件的会计师事务所参加</w:t>
      </w:r>
      <w:r>
        <w:rPr>
          <w:rFonts w:hint="eastAsia" w:ascii="宋体" w:hAnsi="宋体" w:eastAsia="宋体"/>
          <w:sz w:val="24"/>
        </w:rPr>
        <w:t>安集科技</w:t>
      </w:r>
      <w:r>
        <w:rPr>
          <w:rFonts w:ascii="宋体" w:hAnsi="宋体" w:eastAsia="宋体"/>
          <w:sz w:val="24"/>
        </w:rPr>
        <w:t>会计师事务所选聘。具体公告如下：</w:t>
      </w:r>
    </w:p>
    <w:p>
      <w:pPr>
        <w:spacing w:before="156" w:beforeLines="50" w:line="360" w:lineRule="auto"/>
        <w:ind w:firstLine="482" w:firstLineChars="200"/>
        <w:rPr>
          <w:rFonts w:ascii="宋体" w:hAnsi="宋体" w:eastAsia="宋体"/>
          <w:b/>
          <w:sz w:val="24"/>
        </w:rPr>
      </w:pPr>
      <w:r>
        <w:rPr>
          <w:rFonts w:hint="eastAsia" w:ascii="宋体" w:hAnsi="宋体" w:eastAsia="宋体"/>
          <w:b/>
          <w:sz w:val="24"/>
        </w:rPr>
        <w:t>一、基本情况说明</w:t>
      </w:r>
    </w:p>
    <w:p>
      <w:pPr>
        <w:spacing w:before="156" w:beforeLines="50" w:line="360" w:lineRule="auto"/>
        <w:ind w:firstLine="480" w:firstLineChars="200"/>
        <w:rPr>
          <w:rFonts w:ascii="宋体" w:hAnsi="宋体" w:eastAsia="宋体"/>
          <w:sz w:val="24"/>
        </w:rPr>
      </w:pPr>
      <w:r>
        <w:rPr>
          <w:rFonts w:hint="eastAsia" w:ascii="宋体" w:hAnsi="宋体" w:eastAsia="宋体"/>
          <w:sz w:val="24"/>
        </w:rPr>
        <w:t>此次选聘采用公开选聘方式，根据报名情况，对符合选聘标准的会计师事务所开展综合评审，择优选取一</w:t>
      </w:r>
      <w:r>
        <w:rPr>
          <w:rFonts w:ascii="宋体" w:hAnsi="宋体" w:eastAsia="宋体"/>
          <w:sz w:val="24"/>
        </w:rPr>
        <w:t>家会计师事务所。选聘有效期为</w:t>
      </w:r>
      <w:r>
        <w:rPr>
          <w:rFonts w:hint="eastAsia" w:ascii="宋体" w:hAnsi="宋体" w:eastAsia="宋体"/>
          <w:sz w:val="24"/>
        </w:rPr>
        <w:t>三</w:t>
      </w:r>
      <w:r>
        <w:rPr>
          <w:rFonts w:ascii="宋体" w:hAnsi="宋体" w:eastAsia="宋体"/>
          <w:sz w:val="24"/>
        </w:rPr>
        <w:t>年，从选聘生效之日起计算。</w:t>
      </w:r>
    </w:p>
    <w:p>
      <w:pPr>
        <w:spacing w:before="156" w:beforeLines="50" w:line="360" w:lineRule="auto"/>
        <w:ind w:firstLine="480" w:firstLineChars="200"/>
        <w:rPr>
          <w:rFonts w:ascii="宋体" w:hAnsi="宋体" w:eastAsia="宋体"/>
          <w:sz w:val="24"/>
        </w:rPr>
      </w:pPr>
    </w:p>
    <w:p>
      <w:pPr>
        <w:spacing w:before="156" w:beforeLines="50" w:line="360" w:lineRule="auto"/>
        <w:ind w:firstLine="482" w:firstLineChars="200"/>
        <w:rPr>
          <w:rFonts w:ascii="宋体" w:hAnsi="宋体" w:eastAsia="宋体"/>
          <w:b/>
          <w:sz w:val="24"/>
        </w:rPr>
      </w:pPr>
      <w:r>
        <w:rPr>
          <w:rFonts w:hint="eastAsia" w:ascii="宋体" w:hAnsi="宋体" w:eastAsia="宋体"/>
          <w:b/>
          <w:sz w:val="24"/>
        </w:rPr>
        <w:t>二、项目内容</w:t>
      </w:r>
    </w:p>
    <w:p>
      <w:pPr>
        <w:spacing w:before="156" w:beforeLines="50" w:line="360" w:lineRule="auto"/>
        <w:ind w:firstLine="480" w:firstLineChars="200"/>
        <w:rPr>
          <w:rFonts w:ascii="宋体" w:hAnsi="宋体" w:eastAsia="宋体"/>
          <w:sz w:val="24"/>
        </w:rPr>
      </w:pPr>
      <w:r>
        <w:rPr>
          <w:rFonts w:hint="eastAsia" w:ascii="宋体" w:hAnsi="宋体" w:eastAsia="宋体"/>
          <w:sz w:val="24"/>
        </w:rPr>
        <w:t>（一）</w:t>
      </w:r>
      <w:r>
        <w:rPr>
          <w:rFonts w:ascii="宋体" w:hAnsi="宋体" w:eastAsia="宋体"/>
          <w:sz w:val="24"/>
        </w:rPr>
        <w:t>根据监管部门要求，对</w:t>
      </w:r>
      <w:r>
        <w:rPr>
          <w:rFonts w:hint="eastAsia" w:ascii="宋体" w:hAnsi="宋体" w:eastAsia="宋体"/>
          <w:sz w:val="24"/>
        </w:rPr>
        <w:t>安集科技</w:t>
      </w:r>
      <w:r>
        <w:rPr>
          <w:rFonts w:ascii="宋体" w:hAnsi="宋体" w:eastAsia="宋体"/>
          <w:sz w:val="24"/>
        </w:rPr>
        <w:t>合并报表范围内企业进行审计并出具年度审计报告，满足对外披露和报送需求；同时对</w:t>
      </w:r>
      <w:r>
        <w:rPr>
          <w:rFonts w:hint="eastAsia" w:ascii="宋体" w:hAnsi="宋体" w:eastAsia="宋体"/>
          <w:sz w:val="24"/>
        </w:rPr>
        <w:t>安集科技</w:t>
      </w:r>
      <w:r>
        <w:rPr>
          <w:rFonts w:ascii="宋体" w:hAnsi="宋体" w:eastAsia="宋体"/>
          <w:sz w:val="24"/>
        </w:rPr>
        <w:t>年度内部控制审计并出具内部控制审计报告；对合并报表范围内企业出具</w:t>
      </w:r>
      <w:r>
        <w:rPr>
          <w:rFonts w:hint="eastAsia" w:ascii="宋体" w:hAnsi="宋体" w:eastAsia="宋体"/>
          <w:sz w:val="24"/>
        </w:rPr>
        <w:t>募集资金存放与实际使用情况专项报告的鉴证报告</w:t>
      </w:r>
      <w:r>
        <w:rPr>
          <w:rFonts w:ascii="宋体" w:hAnsi="宋体" w:eastAsia="宋体"/>
          <w:sz w:val="24"/>
        </w:rPr>
        <w:t>；对合并报表范围内企业出具</w:t>
      </w:r>
      <w:r>
        <w:rPr>
          <w:rFonts w:hint="eastAsia" w:ascii="宋体" w:hAnsi="宋体" w:eastAsia="宋体"/>
          <w:sz w:val="24"/>
        </w:rPr>
        <w:t>非经营性资金占用及其他关联资金往来情况的专项说明</w:t>
      </w:r>
      <w:r>
        <w:rPr>
          <w:rFonts w:ascii="宋体" w:hAnsi="宋体" w:eastAsia="宋体"/>
          <w:sz w:val="24"/>
        </w:rPr>
        <w:t>；</w:t>
      </w:r>
    </w:p>
    <w:p>
      <w:pPr>
        <w:spacing w:before="156" w:beforeLines="50" w:line="360" w:lineRule="auto"/>
        <w:ind w:firstLine="480" w:firstLineChars="200"/>
        <w:rPr>
          <w:rFonts w:ascii="宋体" w:hAnsi="宋体" w:eastAsia="宋体"/>
          <w:sz w:val="24"/>
        </w:rPr>
      </w:pPr>
      <w:r>
        <w:rPr>
          <w:rFonts w:hint="eastAsia" w:ascii="宋体" w:hAnsi="宋体" w:eastAsia="宋体"/>
          <w:sz w:val="24"/>
        </w:rPr>
        <w:t>（二）</w:t>
      </w:r>
      <w:r>
        <w:rPr>
          <w:rFonts w:ascii="宋体" w:hAnsi="宋体" w:eastAsia="宋体"/>
          <w:sz w:val="24"/>
        </w:rPr>
        <w:t>上交所、证监局等监管机构对</w:t>
      </w:r>
      <w:r>
        <w:rPr>
          <w:rFonts w:hint="eastAsia" w:ascii="宋体" w:hAnsi="宋体" w:eastAsia="宋体"/>
          <w:sz w:val="24"/>
        </w:rPr>
        <w:t>安集科技</w:t>
      </w:r>
      <w:r>
        <w:rPr>
          <w:rFonts w:ascii="宋体" w:hAnsi="宋体" w:eastAsia="宋体"/>
          <w:sz w:val="24"/>
        </w:rPr>
        <w:t>年度报告的问询意见中相关财务</w:t>
      </w:r>
      <w:r>
        <w:rPr>
          <w:rFonts w:hint="eastAsia" w:ascii="宋体" w:hAnsi="宋体" w:eastAsia="宋体"/>
          <w:sz w:val="24"/>
        </w:rPr>
        <w:t>内控等</w:t>
      </w:r>
      <w:r>
        <w:rPr>
          <w:rFonts w:ascii="宋体" w:hAnsi="宋体" w:eastAsia="宋体"/>
          <w:sz w:val="24"/>
        </w:rPr>
        <w:t>事项的回复</w:t>
      </w:r>
      <w:r>
        <w:rPr>
          <w:rFonts w:hint="eastAsia" w:ascii="宋体" w:hAnsi="宋体" w:eastAsia="宋体"/>
          <w:sz w:val="24"/>
        </w:rPr>
        <w:t>（如有）</w:t>
      </w:r>
      <w:r>
        <w:rPr>
          <w:rFonts w:ascii="宋体" w:hAnsi="宋体" w:eastAsia="宋体"/>
          <w:sz w:val="24"/>
        </w:rPr>
        <w:t>。</w:t>
      </w:r>
    </w:p>
    <w:p>
      <w:pPr>
        <w:spacing w:before="156" w:beforeLines="50" w:line="360" w:lineRule="auto"/>
        <w:ind w:firstLine="480" w:firstLineChars="200"/>
        <w:rPr>
          <w:rFonts w:ascii="宋体" w:hAnsi="宋体" w:eastAsia="宋体"/>
          <w:sz w:val="24"/>
        </w:rPr>
      </w:pPr>
    </w:p>
    <w:p>
      <w:pPr>
        <w:spacing w:before="156" w:beforeLines="50" w:line="360" w:lineRule="auto"/>
        <w:ind w:firstLine="482" w:firstLineChars="200"/>
        <w:rPr>
          <w:rFonts w:ascii="宋体" w:hAnsi="宋体" w:eastAsia="宋体"/>
          <w:b/>
          <w:sz w:val="24"/>
        </w:rPr>
      </w:pPr>
      <w:r>
        <w:rPr>
          <w:rFonts w:hint="eastAsia" w:ascii="宋体" w:hAnsi="宋体" w:eastAsia="宋体"/>
          <w:b/>
          <w:sz w:val="24"/>
        </w:rPr>
        <w:t>三、选聘标准</w:t>
      </w:r>
    </w:p>
    <w:p>
      <w:pPr>
        <w:spacing w:before="156" w:beforeLines="50" w:line="360" w:lineRule="auto"/>
        <w:ind w:firstLine="480" w:firstLineChars="200"/>
        <w:rPr>
          <w:rFonts w:ascii="宋体" w:hAnsi="宋体" w:eastAsia="宋体"/>
          <w:sz w:val="24"/>
        </w:rPr>
      </w:pPr>
      <w:r>
        <w:rPr>
          <w:rFonts w:hint="eastAsia" w:ascii="宋体" w:hAnsi="宋体" w:eastAsia="宋体"/>
          <w:sz w:val="24"/>
        </w:rPr>
        <w:t>（一）基本要求</w:t>
      </w:r>
    </w:p>
    <w:p>
      <w:pPr>
        <w:spacing w:before="156" w:beforeLines="50" w:line="360" w:lineRule="auto"/>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w:t>
      </w:r>
      <w:r>
        <w:rPr>
          <w:rFonts w:hint="eastAsia"/>
        </w:rPr>
        <w:t xml:space="preserve"> </w:t>
      </w:r>
      <w:r>
        <w:rPr>
          <w:rFonts w:hint="eastAsia" w:ascii="宋体" w:hAnsi="宋体" w:eastAsia="宋体"/>
          <w:sz w:val="24"/>
        </w:rPr>
        <w:t>具有独立的法人资格，具备国家行业主管部门和中国证监会规定的开展证券期货相关业务所需的执业资格；</w:t>
      </w:r>
    </w:p>
    <w:p>
      <w:pPr>
        <w:spacing w:before="156" w:beforeLines="50" w:line="360" w:lineRule="auto"/>
        <w:ind w:firstLine="480" w:firstLineChars="200"/>
        <w:rPr>
          <w:rFonts w:ascii="宋体" w:hAnsi="宋体" w:eastAsia="宋体"/>
          <w:sz w:val="24"/>
        </w:rPr>
      </w:pPr>
      <w:r>
        <w:rPr>
          <w:rFonts w:hint="eastAsia" w:ascii="宋体" w:hAnsi="宋体" w:eastAsia="宋体"/>
          <w:sz w:val="24"/>
        </w:rPr>
        <w:t>2</w:t>
      </w:r>
      <w:r>
        <w:rPr>
          <w:rFonts w:ascii="宋体" w:hAnsi="宋体" w:eastAsia="宋体"/>
          <w:sz w:val="24"/>
        </w:rPr>
        <w:t>.</w:t>
      </w:r>
      <w:r>
        <w:rPr>
          <w:rFonts w:hint="eastAsia"/>
        </w:rPr>
        <w:t xml:space="preserve"> </w:t>
      </w:r>
      <w:r>
        <w:rPr>
          <w:rFonts w:hint="eastAsia" w:ascii="宋体" w:hAnsi="宋体" w:eastAsia="宋体"/>
          <w:sz w:val="24"/>
        </w:rPr>
        <w:t>具有固定的工作场所、健全的组织机构和完善的内部管理和控制制度；</w:t>
      </w:r>
    </w:p>
    <w:p>
      <w:pPr>
        <w:spacing w:before="156" w:beforeLines="50" w:line="360" w:lineRule="auto"/>
        <w:ind w:firstLine="480" w:firstLineChars="200"/>
        <w:rPr>
          <w:rFonts w:ascii="宋体" w:hAnsi="宋体" w:eastAsia="宋体"/>
          <w:sz w:val="24"/>
        </w:rPr>
      </w:pPr>
      <w:r>
        <w:rPr>
          <w:rFonts w:hint="eastAsia" w:ascii="宋体" w:hAnsi="宋体" w:eastAsia="宋体"/>
          <w:sz w:val="24"/>
        </w:rPr>
        <w:t>3</w:t>
      </w:r>
      <w:r>
        <w:rPr>
          <w:rFonts w:ascii="宋体" w:hAnsi="宋体" w:eastAsia="宋体"/>
          <w:sz w:val="24"/>
        </w:rPr>
        <w:t>.</w:t>
      </w:r>
      <w:r>
        <w:rPr>
          <w:rFonts w:hint="eastAsia" w:ascii="宋体" w:hAnsi="宋体" w:eastAsia="宋体"/>
          <w:sz w:val="24"/>
        </w:rPr>
        <w:t>熟悉国家有关财务会计方面的法律法规、规章和政策；</w:t>
      </w:r>
    </w:p>
    <w:p>
      <w:pPr>
        <w:spacing w:before="156" w:beforeLines="50" w:line="360" w:lineRule="auto"/>
        <w:ind w:firstLine="480" w:firstLineChars="200"/>
        <w:rPr>
          <w:rFonts w:ascii="宋体" w:hAnsi="宋体" w:eastAsia="宋体"/>
          <w:sz w:val="24"/>
        </w:rPr>
      </w:pPr>
      <w:r>
        <w:rPr>
          <w:rFonts w:hint="eastAsia" w:ascii="宋体" w:hAnsi="宋体" w:eastAsia="宋体"/>
          <w:sz w:val="24"/>
        </w:rPr>
        <w:t>4</w:t>
      </w:r>
      <w:r>
        <w:rPr>
          <w:rFonts w:ascii="宋体" w:hAnsi="宋体" w:eastAsia="宋体"/>
          <w:sz w:val="24"/>
        </w:rPr>
        <w:t>.</w:t>
      </w:r>
      <w:r>
        <w:rPr>
          <w:rFonts w:hint="eastAsia" w:ascii="宋体" w:hAnsi="宋体" w:eastAsia="宋体"/>
          <w:sz w:val="24"/>
        </w:rPr>
        <w:t>具有完成审计任务和确保审计质量的注册会计师；</w:t>
      </w:r>
    </w:p>
    <w:p>
      <w:pPr>
        <w:spacing w:before="156" w:beforeLines="50" w:line="360" w:lineRule="auto"/>
        <w:ind w:firstLine="480" w:firstLineChars="200"/>
        <w:rPr>
          <w:rFonts w:ascii="宋体" w:hAnsi="宋体" w:eastAsia="宋体"/>
          <w:sz w:val="24"/>
        </w:rPr>
      </w:pPr>
      <w:r>
        <w:rPr>
          <w:rFonts w:hint="eastAsia" w:ascii="宋体" w:hAnsi="宋体" w:eastAsia="宋体"/>
          <w:sz w:val="24"/>
        </w:rPr>
        <w:t>5</w:t>
      </w:r>
      <w:r>
        <w:rPr>
          <w:rFonts w:ascii="宋体" w:hAnsi="宋体" w:eastAsia="宋体"/>
          <w:sz w:val="24"/>
        </w:rPr>
        <w:t>.</w:t>
      </w:r>
      <w:r>
        <w:rPr>
          <w:rFonts w:hint="eastAsia" w:ascii="宋体" w:hAnsi="宋体" w:eastAsia="宋体"/>
          <w:sz w:val="24"/>
        </w:rPr>
        <w:t>认真执行国家有关财务审计的法律法规、规章和政策规定，具有良好的执业质量记录，近三年没有因证券期货违法执业受到刑事处罚；</w:t>
      </w:r>
    </w:p>
    <w:p>
      <w:pPr>
        <w:spacing w:before="156" w:beforeLines="50" w:line="360" w:lineRule="auto"/>
        <w:ind w:firstLine="480" w:firstLineChars="200"/>
        <w:rPr>
          <w:rFonts w:ascii="宋体" w:hAnsi="宋体" w:eastAsia="宋体"/>
          <w:sz w:val="24"/>
        </w:rPr>
      </w:pPr>
      <w:r>
        <w:rPr>
          <w:rFonts w:hint="eastAsia" w:ascii="宋体" w:hAnsi="宋体" w:eastAsia="宋体"/>
          <w:sz w:val="24"/>
        </w:rPr>
        <w:t>6</w:t>
      </w:r>
      <w:r>
        <w:rPr>
          <w:rFonts w:ascii="宋体" w:hAnsi="宋体" w:eastAsia="宋体"/>
          <w:sz w:val="24"/>
        </w:rPr>
        <w:t>.</w:t>
      </w:r>
      <w:r>
        <w:rPr>
          <w:rFonts w:hint="eastAsia" w:ascii="宋体" w:hAnsi="宋体" w:eastAsia="宋体"/>
          <w:sz w:val="24"/>
        </w:rPr>
        <w:t>负责公司财务报表审计工作及签署公司审计报告的注册会计师近三年没有因证券期货违法执业受到注册会计师监管机构的行政处罚；</w:t>
      </w:r>
    </w:p>
    <w:p>
      <w:pPr>
        <w:spacing w:before="156" w:beforeLines="50" w:line="360" w:lineRule="auto"/>
        <w:ind w:firstLine="480" w:firstLineChars="200"/>
        <w:rPr>
          <w:rFonts w:ascii="宋体" w:hAnsi="宋体" w:eastAsia="宋体"/>
          <w:sz w:val="24"/>
        </w:rPr>
      </w:pPr>
      <w:r>
        <w:rPr>
          <w:rFonts w:hint="eastAsia" w:ascii="宋体" w:hAnsi="宋体" w:eastAsia="宋体"/>
          <w:sz w:val="24"/>
        </w:rPr>
        <w:t>7</w:t>
      </w:r>
      <w:r>
        <w:rPr>
          <w:rFonts w:ascii="宋体" w:hAnsi="宋体" w:eastAsia="宋体"/>
          <w:sz w:val="24"/>
        </w:rPr>
        <w:t xml:space="preserve">. </w:t>
      </w:r>
      <w:r>
        <w:rPr>
          <w:rFonts w:hint="eastAsia" w:ascii="宋体" w:hAnsi="宋体" w:eastAsia="宋体"/>
          <w:sz w:val="24"/>
        </w:rPr>
        <w:t>中国证监会规定的其他条件。</w:t>
      </w:r>
    </w:p>
    <w:p>
      <w:pPr>
        <w:spacing w:before="156" w:beforeLines="50" w:line="360" w:lineRule="auto"/>
        <w:ind w:firstLine="480" w:firstLineChars="200"/>
        <w:rPr>
          <w:rFonts w:ascii="宋体" w:hAnsi="宋体" w:eastAsia="宋体"/>
          <w:sz w:val="24"/>
        </w:rPr>
      </w:pPr>
      <w:r>
        <w:rPr>
          <w:rFonts w:hint="eastAsia" w:ascii="宋体" w:hAnsi="宋体" w:eastAsia="宋体"/>
          <w:sz w:val="24"/>
        </w:rPr>
        <w:t>（二）择优标准</w:t>
      </w:r>
    </w:p>
    <w:p>
      <w:pPr>
        <w:spacing w:before="156" w:beforeLines="50" w:line="360" w:lineRule="auto"/>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w:t>
      </w:r>
      <w:r>
        <w:rPr>
          <w:rFonts w:hint="eastAsia" w:ascii="宋体" w:hAnsi="宋体" w:eastAsia="宋体"/>
          <w:sz w:val="24"/>
        </w:rPr>
        <w:t xml:space="preserve"> 具有信息安全管理体系资质或其他可证明具备完善的信息安全管理和保密的规章制度；</w:t>
      </w:r>
    </w:p>
    <w:p>
      <w:pPr>
        <w:spacing w:before="156" w:beforeLines="50" w:line="360" w:lineRule="auto"/>
        <w:ind w:firstLine="480" w:firstLineChars="200"/>
        <w:rPr>
          <w:rFonts w:ascii="宋体" w:hAnsi="宋体" w:eastAsia="宋体"/>
          <w:sz w:val="24"/>
        </w:rPr>
      </w:pPr>
      <w:r>
        <w:rPr>
          <w:rFonts w:hint="eastAsia" w:ascii="宋体" w:hAnsi="宋体" w:eastAsia="宋体"/>
          <w:sz w:val="24"/>
        </w:rPr>
        <w:t>2</w:t>
      </w:r>
      <w:r>
        <w:rPr>
          <w:rFonts w:ascii="宋体" w:hAnsi="宋体" w:eastAsia="宋体"/>
          <w:sz w:val="24"/>
        </w:rPr>
        <w:t xml:space="preserve">. </w:t>
      </w:r>
      <w:r>
        <w:rPr>
          <w:rFonts w:hint="eastAsia" w:ascii="宋体" w:hAnsi="宋体" w:eastAsia="宋体"/>
          <w:sz w:val="24"/>
        </w:rPr>
        <w:t>在中国注册会计师协会网站公布的</w:t>
      </w:r>
      <w:r>
        <w:rPr>
          <w:rFonts w:ascii="宋体" w:hAnsi="宋体" w:eastAsia="宋体"/>
          <w:sz w:val="24"/>
        </w:rPr>
        <w:t>会计师事务所综合评价百家排名信息中排名前10名（含），且必须是事务所总所</w:t>
      </w:r>
      <w:r>
        <w:rPr>
          <w:rFonts w:hint="eastAsia" w:ascii="宋体" w:hAnsi="宋体" w:eastAsia="宋体"/>
          <w:sz w:val="24"/>
        </w:rPr>
        <w:t>；</w:t>
      </w:r>
    </w:p>
    <w:p>
      <w:pPr>
        <w:spacing w:before="156" w:beforeLines="50" w:line="360" w:lineRule="auto"/>
        <w:ind w:firstLine="480" w:firstLineChars="200"/>
        <w:rPr>
          <w:rFonts w:ascii="宋体" w:hAnsi="宋体" w:eastAsia="宋体"/>
          <w:sz w:val="24"/>
        </w:rPr>
      </w:pPr>
      <w:r>
        <w:rPr>
          <w:rFonts w:hint="eastAsia" w:ascii="宋体" w:hAnsi="宋体" w:eastAsia="宋体"/>
          <w:sz w:val="24"/>
        </w:rPr>
        <w:t>3</w:t>
      </w:r>
      <w:r>
        <w:rPr>
          <w:rFonts w:ascii="宋体" w:hAnsi="宋体" w:eastAsia="宋体"/>
          <w:sz w:val="24"/>
        </w:rPr>
        <w:t>.</w:t>
      </w:r>
      <w:r>
        <w:rPr>
          <w:rFonts w:hint="eastAsia" w:ascii="宋体" w:hAnsi="宋体" w:eastAsia="宋体"/>
          <w:sz w:val="24"/>
        </w:rPr>
        <w:t>近</w:t>
      </w:r>
      <w:r>
        <w:rPr>
          <w:rFonts w:ascii="宋体" w:hAnsi="宋体" w:eastAsia="宋体"/>
          <w:sz w:val="24"/>
        </w:rPr>
        <w:t>3年无“列入严重违法失信企业名单（黑名单）信息”</w:t>
      </w:r>
      <w:r>
        <w:rPr>
          <w:rFonts w:hint="eastAsia" w:ascii="宋体" w:hAnsi="宋体" w:eastAsia="宋体"/>
          <w:sz w:val="24"/>
        </w:rPr>
        <w:t>；</w:t>
      </w:r>
    </w:p>
    <w:p>
      <w:pPr>
        <w:spacing w:before="156" w:beforeLines="50" w:line="360" w:lineRule="auto"/>
        <w:ind w:firstLine="480" w:firstLineChars="200"/>
        <w:rPr>
          <w:rFonts w:ascii="宋体" w:hAnsi="宋体" w:eastAsia="宋体"/>
          <w:sz w:val="24"/>
        </w:rPr>
      </w:pPr>
      <w:r>
        <w:rPr>
          <w:rFonts w:hint="eastAsia" w:ascii="宋体" w:hAnsi="宋体" w:eastAsia="宋体"/>
          <w:sz w:val="24"/>
        </w:rPr>
        <w:t>4</w:t>
      </w:r>
      <w:r>
        <w:rPr>
          <w:rFonts w:ascii="宋体" w:hAnsi="宋体" w:eastAsia="宋体"/>
          <w:sz w:val="24"/>
        </w:rPr>
        <w:t>.</w:t>
      </w:r>
      <w:r>
        <w:rPr>
          <w:rFonts w:hint="eastAsia" w:ascii="宋体" w:hAnsi="宋体" w:eastAsia="宋体"/>
          <w:sz w:val="24"/>
        </w:rPr>
        <w:t>近</w:t>
      </w:r>
      <w:r>
        <w:rPr>
          <w:rFonts w:ascii="宋体" w:hAnsi="宋体" w:eastAsia="宋体"/>
          <w:sz w:val="24"/>
        </w:rPr>
        <w:t>3年具有为以下公司审计工作经验的：</w:t>
      </w:r>
    </w:p>
    <w:p>
      <w:pPr>
        <w:spacing w:before="156" w:beforeLines="50" w:line="360" w:lineRule="auto"/>
        <w:ind w:firstLine="480" w:firstLineChars="200"/>
        <w:rPr>
          <w:rFonts w:ascii="宋体" w:hAnsi="宋体" w:eastAsia="宋体"/>
          <w:sz w:val="24"/>
        </w:rPr>
      </w:pPr>
      <w:r>
        <w:rPr>
          <w:rFonts w:hint="eastAsia" w:ascii="宋体" w:hAnsi="宋体" w:eastAsia="宋体"/>
          <w:sz w:val="24"/>
        </w:rPr>
        <w:t>（</w:t>
      </w:r>
      <w:r>
        <w:rPr>
          <w:rFonts w:ascii="宋体" w:hAnsi="宋体" w:eastAsia="宋体"/>
          <w:sz w:val="24"/>
        </w:rPr>
        <w:t>1）</w:t>
      </w:r>
      <w:r>
        <w:rPr>
          <w:rFonts w:hint="eastAsia" w:ascii="宋体" w:hAnsi="宋体" w:eastAsia="宋体"/>
          <w:sz w:val="24"/>
        </w:rPr>
        <w:t>科创板</w:t>
      </w:r>
      <w:r>
        <w:rPr>
          <w:rFonts w:ascii="宋体" w:hAnsi="宋体" w:eastAsia="宋体"/>
          <w:sz w:val="24"/>
        </w:rPr>
        <w:t>上市公司；</w:t>
      </w:r>
      <w:r>
        <w:rPr>
          <w:rFonts w:hint="eastAsia" w:ascii="宋体" w:hAnsi="宋体" w:eastAsia="宋体"/>
          <w:sz w:val="24"/>
        </w:rPr>
        <w:t>或（</w:t>
      </w:r>
      <w:r>
        <w:rPr>
          <w:rFonts w:ascii="宋体" w:hAnsi="宋体" w:eastAsia="宋体"/>
          <w:sz w:val="24"/>
        </w:rPr>
        <w:t>2）A股上市</w:t>
      </w:r>
      <w:r>
        <w:rPr>
          <w:rFonts w:hint="eastAsia" w:ascii="宋体" w:hAnsi="宋体" w:eastAsia="宋体"/>
          <w:sz w:val="24"/>
        </w:rPr>
        <w:t>半导体行业</w:t>
      </w:r>
      <w:r>
        <w:rPr>
          <w:rFonts w:ascii="宋体" w:hAnsi="宋体" w:eastAsia="宋体"/>
          <w:sz w:val="24"/>
        </w:rPr>
        <w:t>公司</w:t>
      </w:r>
      <w:r>
        <w:rPr>
          <w:rFonts w:hint="eastAsia" w:ascii="宋体" w:hAnsi="宋体" w:eastAsia="宋体"/>
          <w:sz w:val="24"/>
        </w:rPr>
        <w:t>。</w:t>
      </w:r>
    </w:p>
    <w:p>
      <w:pPr>
        <w:spacing w:before="156" w:beforeLines="50" w:line="360" w:lineRule="auto"/>
        <w:ind w:firstLine="480" w:firstLineChars="200"/>
        <w:rPr>
          <w:rFonts w:ascii="宋体" w:hAnsi="宋体" w:eastAsia="宋体"/>
          <w:sz w:val="24"/>
        </w:rPr>
      </w:pPr>
    </w:p>
    <w:p>
      <w:pPr>
        <w:spacing w:before="156" w:beforeLines="50" w:line="360" w:lineRule="auto"/>
        <w:ind w:firstLine="482" w:firstLineChars="200"/>
        <w:rPr>
          <w:rFonts w:ascii="宋体" w:hAnsi="宋体" w:eastAsia="宋体"/>
          <w:b/>
          <w:sz w:val="24"/>
        </w:rPr>
      </w:pPr>
      <w:r>
        <w:rPr>
          <w:rFonts w:hint="eastAsia" w:ascii="宋体" w:hAnsi="宋体" w:eastAsia="宋体"/>
          <w:b/>
          <w:sz w:val="24"/>
        </w:rPr>
        <w:t>四、参选材料</w:t>
      </w:r>
    </w:p>
    <w:p>
      <w:pPr>
        <w:spacing w:before="156" w:beforeLines="50" w:line="360" w:lineRule="auto"/>
        <w:ind w:firstLine="480" w:firstLineChars="200"/>
        <w:rPr>
          <w:rFonts w:ascii="宋体" w:hAnsi="宋体" w:eastAsia="宋体"/>
          <w:sz w:val="24"/>
        </w:rPr>
      </w:pPr>
      <w:r>
        <w:rPr>
          <w:rFonts w:hint="eastAsia" w:ascii="宋体" w:hAnsi="宋体" w:eastAsia="宋体"/>
          <w:sz w:val="24"/>
        </w:rPr>
        <w:t>参选会计师事务所须按以下要求报送材料，所有材料均需加盖公章：</w:t>
      </w:r>
    </w:p>
    <w:p>
      <w:pPr>
        <w:spacing w:before="156" w:beforeLines="50" w:line="360" w:lineRule="auto"/>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w:t>
      </w:r>
      <w:r>
        <w:rPr>
          <w:rFonts w:hint="eastAsia" w:ascii="宋体" w:hAnsi="宋体" w:eastAsia="宋体"/>
          <w:sz w:val="24"/>
        </w:rPr>
        <w:t>《安集微电子科技（上海）股份有限公司会计师事务所选聘申请表》（详见附件）；</w:t>
      </w:r>
    </w:p>
    <w:p>
      <w:pPr>
        <w:spacing w:before="156" w:beforeLines="50" w:line="360" w:lineRule="auto"/>
        <w:ind w:firstLine="480" w:firstLineChars="200"/>
        <w:rPr>
          <w:rFonts w:ascii="宋体" w:hAnsi="宋体" w:eastAsia="宋体"/>
          <w:sz w:val="24"/>
        </w:rPr>
      </w:pPr>
      <w:r>
        <w:rPr>
          <w:rFonts w:hint="eastAsia" w:ascii="宋体" w:hAnsi="宋体" w:eastAsia="宋体"/>
          <w:sz w:val="24"/>
        </w:rPr>
        <w:t>2</w:t>
      </w:r>
      <w:r>
        <w:rPr>
          <w:rFonts w:ascii="宋体" w:hAnsi="宋体" w:eastAsia="宋体"/>
          <w:sz w:val="24"/>
        </w:rPr>
        <w:t>.</w:t>
      </w:r>
      <w:r>
        <w:rPr>
          <w:rFonts w:hint="eastAsia" w:ascii="宋体" w:hAnsi="宋体" w:eastAsia="宋体"/>
          <w:sz w:val="24"/>
        </w:rPr>
        <w:t>与上述选聘标准要求对应的资质及证明材料复印件；</w:t>
      </w:r>
    </w:p>
    <w:p>
      <w:pPr>
        <w:spacing w:before="156" w:beforeLines="50" w:line="360" w:lineRule="auto"/>
        <w:ind w:firstLine="480" w:firstLineChars="200"/>
        <w:rPr>
          <w:rFonts w:ascii="宋体" w:hAnsi="宋体" w:eastAsia="宋体"/>
          <w:sz w:val="24"/>
        </w:rPr>
      </w:pPr>
      <w:r>
        <w:rPr>
          <w:rFonts w:hint="eastAsia" w:ascii="宋体" w:hAnsi="宋体" w:eastAsia="宋体"/>
          <w:sz w:val="24"/>
        </w:rPr>
        <w:t>3</w:t>
      </w:r>
      <w:r>
        <w:rPr>
          <w:rFonts w:ascii="宋体" w:hAnsi="宋体" w:eastAsia="宋体"/>
          <w:sz w:val="24"/>
        </w:rPr>
        <w:t>.</w:t>
      </w:r>
      <w:r>
        <w:rPr>
          <w:rFonts w:hint="eastAsia" w:ascii="宋体" w:hAnsi="宋体" w:eastAsia="宋体"/>
          <w:sz w:val="24"/>
        </w:rPr>
        <w:t>会计师事务所基本情况简介，主要包括事务所基本情况、人员构成、组织机构和部门设置、</w:t>
      </w:r>
      <w:r>
        <w:rPr>
          <w:rFonts w:ascii="宋体" w:hAnsi="宋体" w:eastAsia="宋体"/>
          <w:sz w:val="24"/>
        </w:rPr>
        <w:t>财务状况</w:t>
      </w:r>
      <w:r>
        <w:rPr>
          <w:rFonts w:hint="eastAsia" w:ascii="宋体" w:hAnsi="宋体" w:eastAsia="宋体"/>
          <w:sz w:val="24"/>
        </w:rPr>
        <w:t>、主要业务、主要客户及获得荣誉情况等；</w:t>
      </w:r>
    </w:p>
    <w:p>
      <w:pPr>
        <w:spacing w:before="156" w:beforeLines="50" w:line="360" w:lineRule="auto"/>
        <w:ind w:firstLine="480" w:firstLineChars="200"/>
        <w:rPr>
          <w:rFonts w:ascii="宋体" w:hAnsi="宋体" w:eastAsia="宋体"/>
          <w:sz w:val="24"/>
        </w:rPr>
      </w:pPr>
      <w:r>
        <w:rPr>
          <w:rFonts w:hint="eastAsia" w:ascii="宋体" w:hAnsi="宋体" w:eastAsia="宋体"/>
          <w:sz w:val="24"/>
        </w:rPr>
        <w:t>4</w:t>
      </w:r>
      <w:r>
        <w:rPr>
          <w:rFonts w:ascii="宋体" w:hAnsi="宋体" w:eastAsia="宋体"/>
          <w:sz w:val="24"/>
        </w:rPr>
        <w:t>.</w:t>
      </w:r>
      <w:r>
        <w:rPr>
          <w:rFonts w:hint="eastAsia" w:ascii="宋体" w:hAnsi="宋体" w:eastAsia="宋体"/>
          <w:sz w:val="24"/>
        </w:rPr>
        <w:t>按照有关法律法规要求投保职业保险的证明材料复印件；</w:t>
      </w:r>
    </w:p>
    <w:p>
      <w:pPr>
        <w:spacing w:before="156" w:beforeLines="50" w:line="360" w:lineRule="auto"/>
        <w:ind w:firstLine="480" w:firstLineChars="200"/>
        <w:rPr>
          <w:rFonts w:ascii="宋体" w:hAnsi="宋体" w:eastAsia="宋体"/>
          <w:sz w:val="24"/>
        </w:rPr>
      </w:pPr>
      <w:r>
        <w:rPr>
          <w:rFonts w:hint="eastAsia" w:ascii="宋体" w:hAnsi="宋体" w:eastAsia="宋体"/>
          <w:sz w:val="24"/>
        </w:rPr>
        <w:t>5</w:t>
      </w:r>
      <w:r>
        <w:rPr>
          <w:rFonts w:ascii="宋体" w:hAnsi="宋体" w:eastAsia="宋体"/>
          <w:sz w:val="24"/>
        </w:rPr>
        <w:t>.</w:t>
      </w:r>
      <w:r>
        <w:rPr>
          <w:rFonts w:hint="eastAsia" w:ascii="宋体" w:hAnsi="宋体" w:eastAsia="宋体"/>
          <w:sz w:val="24"/>
        </w:rPr>
        <w:t>工作方案，主要包括签字会计师和项目经理简历、团队人员构成、项目时间安排和项目报价。</w:t>
      </w:r>
    </w:p>
    <w:p>
      <w:pPr>
        <w:spacing w:before="156" w:beforeLines="50" w:line="360" w:lineRule="auto"/>
        <w:ind w:firstLine="480" w:firstLineChars="200"/>
        <w:rPr>
          <w:rFonts w:ascii="宋体" w:hAnsi="宋体" w:eastAsia="宋体"/>
          <w:sz w:val="24"/>
        </w:rPr>
      </w:pPr>
    </w:p>
    <w:p>
      <w:pPr>
        <w:spacing w:before="156" w:beforeLines="50" w:line="360" w:lineRule="auto"/>
        <w:ind w:firstLine="482" w:firstLineChars="200"/>
        <w:rPr>
          <w:rFonts w:ascii="宋体" w:hAnsi="宋体" w:eastAsia="宋体"/>
          <w:b/>
          <w:sz w:val="24"/>
        </w:rPr>
      </w:pPr>
      <w:r>
        <w:rPr>
          <w:rFonts w:hint="eastAsia" w:ascii="宋体" w:hAnsi="宋体" w:eastAsia="宋体"/>
          <w:b/>
          <w:sz w:val="24"/>
        </w:rPr>
        <w:t>五、时间安排及要求</w:t>
      </w:r>
    </w:p>
    <w:p>
      <w:pPr>
        <w:spacing w:before="156" w:beforeLines="50" w:line="360" w:lineRule="auto"/>
        <w:ind w:firstLine="480" w:firstLineChars="200"/>
        <w:rPr>
          <w:rFonts w:ascii="宋体" w:hAnsi="宋体" w:eastAsia="宋体"/>
          <w:sz w:val="24"/>
        </w:rPr>
      </w:pPr>
      <w:r>
        <w:rPr>
          <w:rFonts w:hint="eastAsia" w:ascii="宋体" w:hAnsi="宋体" w:eastAsia="宋体"/>
          <w:sz w:val="24"/>
        </w:rPr>
        <w:t>公告时间：</w:t>
      </w:r>
      <w:r>
        <w:rPr>
          <w:rFonts w:ascii="宋体" w:hAnsi="宋体" w:eastAsia="宋体"/>
          <w:sz w:val="24"/>
        </w:rPr>
        <w:t>2024年3月18日-3月25日。凡有意参加选聘的会计师事务所，于2024年3月</w:t>
      </w:r>
      <w:r>
        <w:rPr>
          <w:rFonts w:hint="eastAsia" w:ascii="宋体" w:hAnsi="宋体" w:eastAsia="宋体"/>
          <w:sz w:val="24"/>
        </w:rPr>
        <w:t>2</w:t>
      </w:r>
      <w:r>
        <w:rPr>
          <w:rFonts w:ascii="宋体" w:hAnsi="宋体" w:eastAsia="宋体"/>
          <w:sz w:val="24"/>
        </w:rPr>
        <w:t>5日23:59之前（北京时间，以邮件发件时间为准），将上述应选资料（一式一份）扫描件发送至指定邮件地址，逾期不予受理。同时，相应纸质材料寄送至我公司邮寄地址。</w:t>
      </w:r>
    </w:p>
    <w:p>
      <w:pPr>
        <w:spacing w:before="156" w:beforeLines="50" w:line="360" w:lineRule="auto"/>
        <w:ind w:firstLine="480" w:firstLineChars="200"/>
        <w:rPr>
          <w:rFonts w:ascii="宋体" w:hAnsi="宋体" w:eastAsia="宋体"/>
          <w:sz w:val="24"/>
        </w:rPr>
      </w:pPr>
      <w:r>
        <w:rPr>
          <w:rFonts w:hint="eastAsia" w:ascii="宋体" w:hAnsi="宋体" w:eastAsia="宋体"/>
          <w:sz w:val="24"/>
        </w:rPr>
        <w:t>邮件地址：</w:t>
      </w:r>
      <w:r>
        <w:rPr>
          <w:rFonts w:ascii="宋体" w:hAnsi="宋体" w:eastAsia="宋体"/>
          <w:sz w:val="24"/>
        </w:rPr>
        <w:t>IR@</w:t>
      </w:r>
      <w:r>
        <w:rPr>
          <w:rFonts w:hint="eastAsia" w:ascii="宋体" w:hAnsi="宋体" w:eastAsia="宋体"/>
          <w:sz w:val="24"/>
        </w:rPr>
        <w:t>anji</w:t>
      </w:r>
      <w:r>
        <w:rPr>
          <w:rFonts w:ascii="宋体" w:hAnsi="宋体" w:eastAsia="宋体"/>
          <w:sz w:val="24"/>
        </w:rPr>
        <w:t>micro.com</w:t>
      </w:r>
    </w:p>
    <w:p>
      <w:pPr>
        <w:spacing w:before="156" w:beforeLines="50" w:line="360" w:lineRule="auto"/>
        <w:ind w:firstLine="480" w:firstLineChars="200"/>
        <w:rPr>
          <w:rFonts w:ascii="宋体" w:hAnsi="宋体" w:eastAsia="宋体"/>
          <w:sz w:val="24"/>
        </w:rPr>
      </w:pPr>
      <w:r>
        <w:rPr>
          <w:rFonts w:hint="eastAsia" w:ascii="宋体" w:hAnsi="宋体" w:eastAsia="宋体"/>
          <w:sz w:val="24"/>
        </w:rPr>
        <w:t>邮寄地址：上海市浦东新区华东路5</w:t>
      </w:r>
      <w:r>
        <w:rPr>
          <w:rFonts w:ascii="宋体" w:hAnsi="宋体" w:eastAsia="宋体"/>
          <w:sz w:val="24"/>
        </w:rPr>
        <w:t>001</w:t>
      </w:r>
      <w:r>
        <w:rPr>
          <w:rFonts w:hint="eastAsia" w:ascii="宋体" w:hAnsi="宋体" w:eastAsia="宋体"/>
          <w:sz w:val="24"/>
        </w:rPr>
        <w:t>号金桥综合保税区</w:t>
      </w:r>
      <w:r>
        <w:rPr>
          <w:rFonts w:ascii="宋体" w:hAnsi="宋体" w:eastAsia="宋体"/>
          <w:sz w:val="24"/>
        </w:rPr>
        <w:t>T6－5幢</w:t>
      </w:r>
    </w:p>
    <w:p>
      <w:pPr>
        <w:spacing w:before="156" w:beforeLines="50" w:line="360" w:lineRule="auto"/>
        <w:ind w:firstLine="480" w:firstLineChars="200"/>
        <w:rPr>
          <w:rFonts w:ascii="宋体" w:hAnsi="宋体" w:eastAsia="宋体"/>
          <w:sz w:val="24"/>
        </w:rPr>
      </w:pPr>
      <w:r>
        <w:rPr>
          <w:rFonts w:hint="eastAsia" w:ascii="宋体" w:hAnsi="宋体" w:eastAsia="宋体"/>
          <w:sz w:val="24"/>
        </w:rPr>
        <w:t>联系电话：</w:t>
      </w:r>
      <w:r>
        <w:rPr>
          <w:rFonts w:ascii="宋体" w:hAnsi="宋体" w:eastAsia="宋体"/>
          <w:sz w:val="24"/>
        </w:rPr>
        <w:t>021-20693201</w:t>
      </w:r>
    </w:p>
    <w:p>
      <w:pPr>
        <w:spacing w:before="156" w:beforeLines="50" w:line="360" w:lineRule="auto"/>
        <w:ind w:firstLine="480" w:firstLineChars="200"/>
        <w:rPr>
          <w:rFonts w:ascii="宋体" w:hAnsi="宋体" w:eastAsia="宋体"/>
          <w:sz w:val="24"/>
        </w:rPr>
      </w:pPr>
    </w:p>
    <w:p>
      <w:pPr>
        <w:spacing w:before="156" w:beforeLines="50" w:line="360" w:lineRule="auto"/>
        <w:ind w:firstLine="482" w:firstLineChars="200"/>
        <w:rPr>
          <w:rFonts w:ascii="宋体" w:hAnsi="宋体" w:eastAsia="宋体"/>
          <w:b/>
          <w:sz w:val="24"/>
        </w:rPr>
      </w:pPr>
      <w:r>
        <w:rPr>
          <w:rFonts w:hint="eastAsia" w:ascii="宋体" w:hAnsi="宋体" w:eastAsia="宋体"/>
          <w:b/>
          <w:sz w:val="24"/>
        </w:rPr>
        <w:t>六、解释权</w:t>
      </w:r>
    </w:p>
    <w:p>
      <w:pPr>
        <w:spacing w:before="156" w:beforeLines="50" w:line="360" w:lineRule="auto"/>
        <w:ind w:firstLine="480" w:firstLineChars="200"/>
        <w:rPr>
          <w:rFonts w:ascii="宋体" w:hAnsi="宋体" w:eastAsia="宋体"/>
          <w:sz w:val="24"/>
        </w:rPr>
      </w:pPr>
      <w:r>
        <w:rPr>
          <w:rFonts w:hint="eastAsia" w:ascii="宋体" w:hAnsi="宋体" w:eastAsia="宋体"/>
          <w:sz w:val="24"/>
        </w:rPr>
        <w:t>本公告的最终解释权归安集科技所有。</w:t>
      </w:r>
    </w:p>
    <w:p>
      <w:pPr>
        <w:spacing w:before="156" w:beforeLines="50" w:line="360" w:lineRule="auto"/>
        <w:ind w:firstLine="480" w:firstLineChars="200"/>
        <w:rPr>
          <w:rFonts w:ascii="宋体" w:hAnsi="宋体" w:eastAsia="宋体"/>
          <w:sz w:val="24"/>
        </w:rPr>
      </w:pPr>
    </w:p>
    <w:p>
      <w:pPr>
        <w:spacing w:before="156" w:beforeLines="50" w:line="360" w:lineRule="auto"/>
        <w:ind w:firstLine="480" w:firstLineChars="200"/>
        <w:rPr>
          <w:rFonts w:ascii="宋体" w:hAnsi="宋体" w:eastAsia="宋体"/>
          <w:sz w:val="24"/>
        </w:rPr>
      </w:pPr>
    </w:p>
    <w:p>
      <w:pPr>
        <w:spacing w:before="156" w:beforeLines="50" w:line="360" w:lineRule="auto"/>
        <w:ind w:firstLine="480" w:firstLineChars="200"/>
        <w:jc w:val="right"/>
        <w:rPr>
          <w:rFonts w:ascii="宋体" w:hAnsi="宋体" w:eastAsia="宋体"/>
          <w:sz w:val="24"/>
        </w:rPr>
      </w:pPr>
      <w:r>
        <w:rPr>
          <w:rFonts w:hint="eastAsia" w:ascii="宋体" w:hAnsi="宋体" w:eastAsia="宋体"/>
          <w:sz w:val="24"/>
        </w:rPr>
        <w:t>安集微电子科技（上海）股份有限公司</w:t>
      </w:r>
    </w:p>
    <w:p>
      <w:pPr>
        <w:spacing w:before="156" w:beforeLines="50" w:line="360" w:lineRule="auto"/>
        <w:ind w:firstLine="480" w:firstLineChars="200"/>
        <w:jc w:val="right"/>
        <w:rPr>
          <w:rFonts w:ascii="宋体" w:hAnsi="宋体" w:eastAsia="宋体"/>
          <w:sz w:val="24"/>
        </w:rPr>
        <w:sectPr>
          <w:pgSz w:w="11906" w:h="16838"/>
          <w:pgMar w:top="1440" w:right="1800" w:bottom="1440" w:left="1800" w:header="851" w:footer="992" w:gutter="0"/>
          <w:cols w:space="425" w:num="1"/>
          <w:docGrid w:type="lines" w:linePitch="312" w:charSpace="0"/>
        </w:sectPr>
      </w:pPr>
      <w:r>
        <w:rPr>
          <w:rFonts w:ascii="宋体" w:hAnsi="宋体" w:eastAsia="宋体"/>
          <w:sz w:val="24"/>
        </w:rPr>
        <w:t>2024年3月18日</w:t>
      </w:r>
    </w:p>
    <w:p>
      <w:pPr>
        <w:spacing w:before="156" w:beforeLines="50" w:line="360" w:lineRule="auto"/>
        <w:rPr>
          <w:rFonts w:ascii="宋体" w:hAnsi="宋体" w:eastAsia="宋体"/>
          <w:sz w:val="24"/>
        </w:rPr>
      </w:pPr>
      <w:r>
        <w:rPr>
          <w:rFonts w:hint="eastAsia" w:ascii="宋体" w:hAnsi="宋体" w:eastAsia="宋体"/>
          <w:sz w:val="24"/>
        </w:rPr>
        <w:t xml:space="preserve">附件： </w:t>
      </w:r>
    </w:p>
    <w:p>
      <w:pPr>
        <w:spacing w:before="156" w:beforeLines="50" w:line="360" w:lineRule="auto"/>
        <w:rPr>
          <w:rFonts w:ascii="宋体" w:hAnsi="宋体" w:eastAsia="宋体"/>
          <w:sz w:val="24"/>
        </w:rPr>
      </w:pPr>
      <w:r>
        <w:rPr>
          <w:rFonts w:ascii="宋体" w:hAnsi="宋体" w:eastAsia="宋体"/>
          <w:sz w:val="28"/>
        </w:rPr>
        <w:t xml:space="preserve"> </w:t>
      </w:r>
      <w:r>
        <w:rPr>
          <w:rFonts w:hint="eastAsia" w:ascii="宋体" w:hAnsi="宋体" w:eastAsia="宋体"/>
          <w:sz w:val="28"/>
        </w:rPr>
        <w:t>安集微电子科技（上海）股份有限公司会计师事务所选聘申请表</w:t>
      </w:r>
    </w:p>
    <w:tbl>
      <w:tblPr>
        <w:tblStyle w:val="5"/>
        <w:tblW w:w="494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5"/>
        <w:gridCol w:w="2630"/>
        <w:gridCol w:w="1646"/>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196"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事务所名称</w:t>
            </w:r>
          </w:p>
        </w:tc>
        <w:tc>
          <w:tcPr>
            <w:tcW w:w="1561" w:type="pct"/>
            <w:shd w:val="clear" w:color="auto" w:fill="auto"/>
            <w:vAlign w:val="center"/>
          </w:tcPr>
          <w:p>
            <w:pPr>
              <w:widowControl/>
              <w:jc w:val="center"/>
              <w:rPr>
                <w:rFonts w:ascii="宋体" w:hAnsi="宋体" w:eastAsia="宋体" w:cs="宋体"/>
                <w:color w:val="000000"/>
                <w:kern w:val="0"/>
                <w:sz w:val="24"/>
                <w:szCs w:val="28"/>
              </w:rPr>
            </w:pPr>
          </w:p>
        </w:tc>
        <w:tc>
          <w:tcPr>
            <w:tcW w:w="977"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统一社会信用代码证</w:t>
            </w:r>
          </w:p>
        </w:tc>
        <w:tc>
          <w:tcPr>
            <w:tcW w:w="1264" w:type="pct"/>
            <w:shd w:val="clear" w:color="auto" w:fill="auto"/>
            <w:vAlign w:val="center"/>
          </w:tcPr>
          <w:p>
            <w:pPr>
              <w:widowControl/>
              <w:jc w:val="left"/>
              <w:rPr>
                <w:rFonts w:ascii="宋体" w:hAnsi="宋体" w:eastAsia="宋体" w:cs="宋体"/>
                <w:color w:val="000000"/>
                <w:kern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96"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法定代表人</w:t>
            </w:r>
          </w:p>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（首席合伙人）</w:t>
            </w:r>
          </w:p>
        </w:tc>
        <w:tc>
          <w:tcPr>
            <w:tcW w:w="1561" w:type="pct"/>
            <w:shd w:val="clear" w:color="auto" w:fill="auto"/>
            <w:vAlign w:val="center"/>
          </w:tcPr>
          <w:p>
            <w:pPr>
              <w:widowControl/>
              <w:jc w:val="center"/>
              <w:rPr>
                <w:rFonts w:ascii="宋体" w:hAnsi="宋体" w:eastAsia="宋体" w:cs="宋体"/>
                <w:color w:val="000000"/>
                <w:kern w:val="0"/>
                <w:sz w:val="24"/>
                <w:szCs w:val="28"/>
              </w:rPr>
            </w:pPr>
          </w:p>
        </w:tc>
        <w:tc>
          <w:tcPr>
            <w:tcW w:w="977"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成立日期</w:t>
            </w:r>
          </w:p>
        </w:tc>
        <w:tc>
          <w:tcPr>
            <w:tcW w:w="1264" w:type="pct"/>
            <w:shd w:val="clear" w:color="auto" w:fill="auto"/>
            <w:vAlign w:val="center"/>
          </w:tcPr>
          <w:p>
            <w:pPr>
              <w:widowControl/>
              <w:rPr>
                <w:rFonts w:ascii="宋体" w:hAnsi="宋体" w:eastAsia="宋体" w:cs="宋体"/>
                <w:color w:val="000000"/>
                <w:kern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1196"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事务所总所机构所在地（省市）</w:t>
            </w:r>
          </w:p>
        </w:tc>
        <w:tc>
          <w:tcPr>
            <w:tcW w:w="1561" w:type="pct"/>
            <w:shd w:val="clear" w:color="auto" w:fill="auto"/>
            <w:vAlign w:val="center"/>
          </w:tcPr>
          <w:p>
            <w:pPr>
              <w:widowControl/>
              <w:jc w:val="center"/>
              <w:rPr>
                <w:rFonts w:ascii="宋体" w:hAnsi="宋体" w:eastAsia="宋体" w:cs="宋体"/>
                <w:color w:val="000000"/>
                <w:kern w:val="0"/>
                <w:sz w:val="24"/>
                <w:szCs w:val="28"/>
              </w:rPr>
            </w:pPr>
          </w:p>
        </w:tc>
        <w:tc>
          <w:tcPr>
            <w:tcW w:w="977"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分支机构数量</w:t>
            </w:r>
          </w:p>
        </w:tc>
        <w:tc>
          <w:tcPr>
            <w:tcW w:w="1264" w:type="pct"/>
            <w:shd w:val="clear" w:color="auto" w:fill="auto"/>
            <w:vAlign w:val="center"/>
          </w:tcPr>
          <w:p>
            <w:pPr>
              <w:widowControl/>
              <w:jc w:val="center"/>
              <w:rPr>
                <w:rFonts w:ascii="宋体" w:hAnsi="宋体" w:eastAsia="宋体" w:cs="宋体"/>
                <w:color w:val="000000"/>
                <w:kern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196"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注册资本</w:t>
            </w:r>
          </w:p>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（万元）</w:t>
            </w:r>
          </w:p>
        </w:tc>
        <w:tc>
          <w:tcPr>
            <w:tcW w:w="1561"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　</w:t>
            </w:r>
          </w:p>
        </w:tc>
        <w:tc>
          <w:tcPr>
            <w:tcW w:w="977"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注册会计师人数</w:t>
            </w:r>
          </w:p>
        </w:tc>
        <w:tc>
          <w:tcPr>
            <w:tcW w:w="1264"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196"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联 系 人</w:t>
            </w:r>
          </w:p>
        </w:tc>
        <w:tc>
          <w:tcPr>
            <w:tcW w:w="1561"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　</w:t>
            </w:r>
          </w:p>
        </w:tc>
        <w:tc>
          <w:tcPr>
            <w:tcW w:w="977"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办公电话</w:t>
            </w:r>
          </w:p>
        </w:tc>
        <w:tc>
          <w:tcPr>
            <w:tcW w:w="1264"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1196"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邮箱地址</w:t>
            </w:r>
          </w:p>
        </w:tc>
        <w:tc>
          <w:tcPr>
            <w:tcW w:w="1561"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　</w:t>
            </w:r>
          </w:p>
        </w:tc>
        <w:tc>
          <w:tcPr>
            <w:tcW w:w="977"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手机号</w:t>
            </w:r>
          </w:p>
        </w:tc>
        <w:tc>
          <w:tcPr>
            <w:tcW w:w="1264" w:type="pct"/>
            <w:shd w:val="clear" w:color="auto" w:fill="auto"/>
            <w:vAlign w:val="center"/>
          </w:tcPr>
          <w:p>
            <w:pPr>
              <w:widowControl/>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196" w:type="pct"/>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通讯地址及邮编</w:t>
            </w:r>
          </w:p>
        </w:tc>
        <w:tc>
          <w:tcPr>
            <w:tcW w:w="3803" w:type="pct"/>
            <w:gridSpan w:val="3"/>
            <w:shd w:val="clear" w:color="auto" w:fill="auto"/>
            <w:vAlign w:val="center"/>
          </w:tcPr>
          <w:p>
            <w:pPr>
              <w:widowControl/>
              <w:jc w:val="center"/>
              <w:rPr>
                <w:rFonts w:ascii="宋体" w:hAnsi="宋体" w:eastAsia="宋体" w:cs="宋体"/>
                <w:color w:val="000000"/>
                <w:kern w:val="0"/>
                <w:sz w:val="24"/>
                <w:szCs w:val="28"/>
              </w:rPr>
            </w:pPr>
            <w:r>
              <w:rPr>
                <w:rFonts w:hint="eastAsia" w:ascii="宋体" w:hAnsi="宋体" w:eastAsia="宋体" w:cs="宋体"/>
                <w:color w:val="000000"/>
                <w:kern w:val="0"/>
                <w:sz w:val="24"/>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5" w:hRule="atLeast"/>
        </w:trPr>
        <w:tc>
          <w:tcPr>
            <w:tcW w:w="5000" w:type="pct"/>
            <w:gridSpan w:val="4"/>
            <w:shd w:val="clear" w:color="auto" w:fill="auto"/>
          </w:tcPr>
          <w:p>
            <w:pPr>
              <w:widowControl/>
              <w:spacing w:after="280"/>
              <w:rPr>
                <w:rFonts w:ascii="宋体" w:hAnsi="宋体" w:eastAsia="宋体" w:cs="宋体"/>
                <w:color w:val="000000"/>
                <w:kern w:val="0"/>
                <w:sz w:val="24"/>
                <w:szCs w:val="28"/>
              </w:rPr>
            </w:pPr>
            <w:r>
              <w:rPr>
                <w:rFonts w:hint="eastAsia" w:ascii="宋体" w:hAnsi="宋体" w:eastAsia="宋体" w:cs="宋体"/>
                <w:color w:val="000000"/>
                <w:kern w:val="0"/>
                <w:sz w:val="24"/>
                <w:szCs w:val="28"/>
              </w:rPr>
              <w:t>我机构保证申报内容全部属实。如有不实，我机构愿承担由此而产生的一切责任。</w:t>
            </w:r>
          </w:p>
          <w:p>
            <w:pPr>
              <w:widowControl/>
              <w:spacing w:after="280"/>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                     法定代表人（首席合伙人）签名:           </w:t>
            </w:r>
          </w:p>
          <w:p>
            <w:pPr>
              <w:widowControl/>
              <w:spacing w:after="280"/>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 xml:space="preserve">                      </w:t>
            </w:r>
          </w:p>
          <w:p>
            <w:pPr>
              <w:widowControl/>
              <w:spacing w:after="280"/>
              <w:jc w:val="left"/>
              <w:rPr>
                <w:rFonts w:ascii="宋体" w:hAnsi="宋体" w:eastAsia="宋体" w:cs="宋体"/>
                <w:color w:val="000000"/>
                <w:kern w:val="0"/>
                <w:sz w:val="24"/>
                <w:szCs w:val="28"/>
              </w:rPr>
            </w:pPr>
          </w:p>
          <w:p>
            <w:pPr>
              <w:widowControl/>
              <w:spacing w:after="280"/>
              <w:ind w:right="960"/>
              <w:jc w:val="center"/>
              <w:rPr>
                <w:rFonts w:ascii="宋体" w:hAnsi="宋体" w:eastAsia="宋体" w:cs="宋体"/>
                <w:color w:val="000000"/>
                <w:kern w:val="0"/>
                <w:sz w:val="24"/>
                <w:szCs w:val="28"/>
              </w:rPr>
            </w:pPr>
            <w:r>
              <w:rPr>
                <w:rFonts w:ascii="宋体" w:hAnsi="宋体" w:eastAsia="宋体" w:cs="宋体"/>
                <w:color w:val="000000"/>
                <w:kern w:val="0"/>
                <w:sz w:val="24"/>
                <w:szCs w:val="28"/>
              </w:rPr>
              <w:t xml:space="preserve">             </w:t>
            </w:r>
            <w:r>
              <w:rPr>
                <w:rFonts w:hint="eastAsia" w:ascii="宋体" w:hAnsi="宋体" w:eastAsia="宋体" w:cs="宋体"/>
                <w:color w:val="000000"/>
                <w:kern w:val="0"/>
                <w:sz w:val="24"/>
                <w:szCs w:val="28"/>
              </w:rPr>
              <w:t>会计师事务所（盖章、骑缝章）:</w:t>
            </w:r>
          </w:p>
          <w:p>
            <w:pPr>
              <w:widowControl/>
              <w:spacing w:after="280"/>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br w:type="textWrapping"/>
            </w:r>
            <w:r>
              <w:rPr>
                <w:rFonts w:hint="eastAsia" w:ascii="宋体" w:hAnsi="宋体" w:eastAsia="宋体" w:cs="宋体"/>
                <w:color w:val="000000"/>
                <w:kern w:val="0"/>
                <w:sz w:val="24"/>
                <w:szCs w:val="28"/>
              </w:rPr>
              <w:t xml:space="preserve">                     </w:t>
            </w:r>
          </w:p>
          <w:p>
            <w:pPr>
              <w:widowControl/>
              <w:spacing w:after="280"/>
              <w:ind w:firstLine="2640" w:firstLineChars="1100"/>
              <w:jc w:val="left"/>
              <w:rPr>
                <w:rFonts w:ascii="宋体" w:hAnsi="宋体" w:eastAsia="宋体" w:cs="宋体"/>
                <w:color w:val="000000"/>
                <w:kern w:val="0"/>
                <w:sz w:val="24"/>
                <w:szCs w:val="28"/>
              </w:rPr>
            </w:pPr>
            <w:r>
              <w:rPr>
                <w:rFonts w:hint="eastAsia" w:ascii="宋体" w:hAnsi="宋体" w:eastAsia="宋体" w:cs="宋体"/>
                <w:color w:val="000000"/>
                <w:kern w:val="0"/>
                <w:sz w:val="24"/>
                <w:szCs w:val="28"/>
              </w:rPr>
              <w:t>年        月       日</w:t>
            </w:r>
          </w:p>
        </w:tc>
      </w:tr>
    </w:tbl>
    <w:p>
      <w:pPr>
        <w:spacing w:before="156" w:beforeLines="50" w:line="360" w:lineRule="auto"/>
        <w:rPr>
          <w:rFonts w:ascii="宋体" w:hAnsi="宋体" w:eastAsia="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53B"/>
    <w:rsid w:val="00023C2B"/>
    <w:rsid w:val="00025C94"/>
    <w:rsid w:val="00032153"/>
    <w:rsid w:val="0003540C"/>
    <w:rsid w:val="0005518E"/>
    <w:rsid w:val="0005519C"/>
    <w:rsid w:val="00066B4C"/>
    <w:rsid w:val="000A1DB2"/>
    <w:rsid w:val="000B509E"/>
    <w:rsid w:val="000B6928"/>
    <w:rsid w:val="000B748E"/>
    <w:rsid w:val="0011552E"/>
    <w:rsid w:val="00127C69"/>
    <w:rsid w:val="00136D98"/>
    <w:rsid w:val="0014471F"/>
    <w:rsid w:val="001634A6"/>
    <w:rsid w:val="00175B04"/>
    <w:rsid w:val="00191E32"/>
    <w:rsid w:val="001D6C30"/>
    <w:rsid w:val="001F35B6"/>
    <w:rsid w:val="0025053E"/>
    <w:rsid w:val="00266296"/>
    <w:rsid w:val="00266966"/>
    <w:rsid w:val="00270C43"/>
    <w:rsid w:val="002945FE"/>
    <w:rsid w:val="002A6A88"/>
    <w:rsid w:val="002A75AF"/>
    <w:rsid w:val="002C677E"/>
    <w:rsid w:val="002E7642"/>
    <w:rsid w:val="00306ACD"/>
    <w:rsid w:val="0030705F"/>
    <w:rsid w:val="0031016E"/>
    <w:rsid w:val="00310905"/>
    <w:rsid w:val="003177CA"/>
    <w:rsid w:val="00336F7F"/>
    <w:rsid w:val="00350ED4"/>
    <w:rsid w:val="0037012E"/>
    <w:rsid w:val="0037089F"/>
    <w:rsid w:val="00371A91"/>
    <w:rsid w:val="00371AB0"/>
    <w:rsid w:val="00380938"/>
    <w:rsid w:val="00381939"/>
    <w:rsid w:val="00381FFA"/>
    <w:rsid w:val="0038231D"/>
    <w:rsid w:val="00387736"/>
    <w:rsid w:val="00392DC3"/>
    <w:rsid w:val="00393CB8"/>
    <w:rsid w:val="00394214"/>
    <w:rsid w:val="003A10CB"/>
    <w:rsid w:val="003A69EC"/>
    <w:rsid w:val="003A77DF"/>
    <w:rsid w:val="003B5431"/>
    <w:rsid w:val="003C71EE"/>
    <w:rsid w:val="003C7632"/>
    <w:rsid w:val="003F1580"/>
    <w:rsid w:val="003F4C7B"/>
    <w:rsid w:val="00412523"/>
    <w:rsid w:val="0044077D"/>
    <w:rsid w:val="004432D8"/>
    <w:rsid w:val="00447F5B"/>
    <w:rsid w:val="00466683"/>
    <w:rsid w:val="00471DFA"/>
    <w:rsid w:val="00482BBE"/>
    <w:rsid w:val="004A3F44"/>
    <w:rsid w:val="004A4DD1"/>
    <w:rsid w:val="004B5F60"/>
    <w:rsid w:val="004D553B"/>
    <w:rsid w:val="004F20DE"/>
    <w:rsid w:val="004F3ED6"/>
    <w:rsid w:val="005016EE"/>
    <w:rsid w:val="0051391E"/>
    <w:rsid w:val="005179F7"/>
    <w:rsid w:val="0053361B"/>
    <w:rsid w:val="005510D4"/>
    <w:rsid w:val="005512F4"/>
    <w:rsid w:val="005A1139"/>
    <w:rsid w:val="005C48EF"/>
    <w:rsid w:val="005C59E8"/>
    <w:rsid w:val="005E7F83"/>
    <w:rsid w:val="00603D26"/>
    <w:rsid w:val="00607DD6"/>
    <w:rsid w:val="00611742"/>
    <w:rsid w:val="00622825"/>
    <w:rsid w:val="00632106"/>
    <w:rsid w:val="00642160"/>
    <w:rsid w:val="00644435"/>
    <w:rsid w:val="006739E5"/>
    <w:rsid w:val="00675ADA"/>
    <w:rsid w:val="00686F12"/>
    <w:rsid w:val="006872DD"/>
    <w:rsid w:val="006949AE"/>
    <w:rsid w:val="006A1790"/>
    <w:rsid w:val="006A4BBE"/>
    <w:rsid w:val="006B41B5"/>
    <w:rsid w:val="006D7316"/>
    <w:rsid w:val="006E1B25"/>
    <w:rsid w:val="006E29A6"/>
    <w:rsid w:val="006E7275"/>
    <w:rsid w:val="006F288A"/>
    <w:rsid w:val="007111D9"/>
    <w:rsid w:val="00724033"/>
    <w:rsid w:val="00743F23"/>
    <w:rsid w:val="0075504E"/>
    <w:rsid w:val="00771526"/>
    <w:rsid w:val="00772CF9"/>
    <w:rsid w:val="00781AC8"/>
    <w:rsid w:val="007A11D8"/>
    <w:rsid w:val="007B7E29"/>
    <w:rsid w:val="008029D7"/>
    <w:rsid w:val="0081239D"/>
    <w:rsid w:val="008201B6"/>
    <w:rsid w:val="00825799"/>
    <w:rsid w:val="00853EF9"/>
    <w:rsid w:val="008567BF"/>
    <w:rsid w:val="00864BE5"/>
    <w:rsid w:val="008666A4"/>
    <w:rsid w:val="00870456"/>
    <w:rsid w:val="008819A1"/>
    <w:rsid w:val="00893E28"/>
    <w:rsid w:val="008A1BD1"/>
    <w:rsid w:val="008D0D7F"/>
    <w:rsid w:val="008D47DB"/>
    <w:rsid w:val="008E5763"/>
    <w:rsid w:val="008E6719"/>
    <w:rsid w:val="009027D2"/>
    <w:rsid w:val="00911372"/>
    <w:rsid w:val="00913FCF"/>
    <w:rsid w:val="00921CE6"/>
    <w:rsid w:val="00927345"/>
    <w:rsid w:val="00936B9F"/>
    <w:rsid w:val="009405DC"/>
    <w:rsid w:val="0094216E"/>
    <w:rsid w:val="0094216F"/>
    <w:rsid w:val="0094443F"/>
    <w:rsid w:val="00945E06"/>
    <w:rsid w:val="009838FA"/>
    <w:rsid w:val="00985529"/>
    <w:rsid w:val="00985ECE"/>
    <w:rsid w:val="00997446"/>
    <w:rsid w:val="009A2628"/>
    <w:rsid w:val="009A6916"/>
    <w:rsid w:val="009E655E"/>
    <w:rsid w:val="00A0086C"/>
    <w:rsid w:val="00A06339"/>
    <w:rsid w:val="00A15E47"/>
    <w:rsid w:val="00A330FD"/>
    <w:rsid w:val="00A3559E"/>
    <w:rsid w:val="00A461B9"/>
    <w:rsid w:val="00A4642E"/>
    <w:rsid w:val="00A7172A"/>
    <w:rsid w:val="00A83EBE"/>
    <w:rsid w:val="00AA22F2"/>
    <w:rsid w:val="00AA6300"/>
    <w:rsid w:val="00AA6AB8"/>
    <w:rsid w:val="00AA6D27"/>
    <w:rsid w:val="00AA7B53"/>
    <w:rsid w:val="00AC37D4"/>
    <w:rsid w:val="00AF0DD9"/>
    <w:rsid w:val="00B00A47"/>
    <w:rsid w:val="00B1691C"/>
    <w:rsid w:val="00B175CD"/>
    <w:rsid w:val="00B471CC"/>
    <w:rsid w:val="00B50336"/>
    <w:rsid w:val="00B5448F"/>
    <w:rsid w:val="00BB46BA"/>
    <w:rsid w:val="00BC777E"/>
    <w:rsid w:val="00BF17C3"/>
    <w:rsid w:val="00C267A4"/>
    <w:rsid w:val="00C41467"/>
    <w:rsid w:val="00C62505"/>
    <w:rsid w:val="00C63831"/>
    <w:rsid w:val="00C63B4A"/>
    <w:rsid w:val="00C90DF2"/>
    <w:rsid w:val="00C91BDA"/>
    <w:rsid w:val="00CA22D0"/>
    <w:rsid w:val="00CA375D"/>
    <w:rsid w:val="00CB72BB"/>
    <w:rsid w:val="00D10968"/>
    <w:rsid w:val="00D130DE"/>
    <w:rsid w:val="00D233D4"/>
    <w:rsid w:val="00D23BAA"/>
    <w:rsid w:val="00D36923"/>
    <w:rsid w:val="00D437E8"/>
    <w:rsid w:val="00D63403"/>
    <w:rsid w:val="00D71BFD"/>
    <w:rsid w:val="00D7374F"/>
    <w:rsid w:val="00D73E3F"/>
    <w:rsid w:val="00D85DA9"/>
    <w:rsid w:val="00D95D76"/>
    <w:rsid w:val="00DA6552"/>
    <w:rsid w:val="00DC0162"/>
    <w:rsid w:val="00DD40B1"/>
    <w:rsid w:val="00DD5A6F"/>
    <w:rsid w:val="00DE6492"/>
    <w:rsid w:val="00E15BE2"/>
    <w:rsid w:val="00E23CBD"/>
    <w:rsid w:val="00E26D28"/>
    <w:rsid w:val="00E80BEC"/>
    <w:rsid w:val="00E90453"/>
    <w:rsid w:val="00EB1BF9"/>
    <w:rsid w:val="00EB47AA"/>
    <w:rsid w:val="00EB73EC"/>
    <w:rsid w:val="00EC2C3C"/>
    <w:rsid w:val="00EC5F1D"/>
    <w:rsid w:val="00ED6D72"/>
    <w:rsid w:val="00F1640C"/>
    <w:rsid w:val="00F212A2"/>
    <w:rsid w:val="00F214A1"/>
    <w:rsid w:val="00F3083B"/>
    <w:rsid w:val="00F67592"/>
    <w:rsid w:val="00F92D24"/>
    <w:rsid w:val="00F955E3"/>
    <w:rsid w:val="00FA215D"/>
    <w:rsid w:val="00FC2DC7"/>
    <w:rsid w:val="00FC2E7C"/>
    <w:rsid w:val="00FC4571"/>
    <w:rsid w:val="6BD70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link w:val="7"/>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6">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3 字符"/>
    <w:basedOn w:val="6"/>
    <w:link w:val="2"/>
    <w:uiPriority w:val="9"/>
    <w:rPr>
      <w:rFonts w:ascii="宋体" w:hAnsi="宋体" w:eastAsia="宋体" w:cs="宋体"/>
      <w:b/>
      <w:bCs/>
      <w:kern w:val="0"/>
      <w:sz w:val="27"/>
      <w:szCs w:val="27"/>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6FB29-E67F-4CE4-B06E-CBB6ACD269D6}">
  <ds:schemaRefs/>
</ds:datastoreItem>
</file>

<file path=docProps/app.xml><?xml version="1.0" encoding="utf-8"?>
<Properties xmlns="http://schemas.openxmlformats.org/officeDocument/2006/extended-properties" xmlns:vt="http://schemas.openxmlformats.org/officeDocument/2006/docPropsVTypes">
  <Template>Normal</Template>
  <Pages>5</Pages>
  <Words>265</Words>
  <Characters>1515</Characters>
  <Lines>12</Lines>
  <Paragraphs>3</Paragraphs>
  <TotalTime>74</TotalTime>
  <ScaleCrop>false</ScaleCrop>
  <LinksUpToDate>false</LinksUpToDate>
  <CharactersWithSpaces>1777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2024-03-13T05:31:00Z</dcterms:created>
  <dc:creator>YingZhang</dc:creator>
  <cp:lastModifiedBy>zb</cp:lastModifiedBy>
  <dcterms:modified xsi:type="dcterms:W3CDTF">2024-03-18T08:45:07Z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2CBD979E7D0A4F9FB2002DB9D55A6A7E_13</vt:lpwstr>
  </property>
</Properties>
</file>